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</w:t>
      </w:r>
      <w:r w:rsidR="007E4A6A">
        <w:rPr>
          <w:rFonts w:ascii="Times New Roman" w:hAnsi="Times New Roman" w:cs="Times New Roman"/>
          <w:sz w:val="24"/>
          <w:szCs w:val="24"/>
        </w:rPr>
        <w:t>реждение</w:t>
      </w:r>
    </w:p>
    <w:p w:rsidR="007E4A6A" w:rsidRDefault="007E4A6A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«Белоярская средняя общеобразовательная школа №1»</w:t>
      </w: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40DEA" w:rsidRDefault="00C828F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 w:rsidR="006702A5">
        <w:rPr>
          <w:rFonts w:ascii="Times New Roman" w:hAnsi="Times New Roman" w:cs="Times New Roman"/>
          <w:sz w:val="24"/>
          <w:szCs w:val="24"/>
        </w:rPr>
        <w:t>УТВЕРЖДЕНО</w:t>
      </w:r>
    </w:p>
    <w:p w:rsidR="008F403B" w:rsidRDefault="00C828F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="008F403B">
        <w:rPr>
          <w:rFonts w:ascii="Times New Roman" w:hAnsi="Times New Roman" w:cs="Times New Roman"/>
          <w:sz w:val="24"/>
          <w:szCs w:val="24"/>
        </w:rPr>
        <w:t xml:space="preserve"> </w:t>
      </w:r>
      <w:r w:rsidR="00940D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02A5">
        <w:rPr>
          <w:rFonts w:ascii="Times New Roman" w:hAnsi="Times New Roman" w:cs="Times New Roman"/>
          <w:sz w:val="24"/>
          <w:szCs w:val="24"/>
        </w:rPr>
        <w:t xml:space="preserve">                    и.о. д</w:t>
      </w:r>
      <w:r w:rsidR="00940DEA">
        <w:rPr>
          <w:rFonts w:ascii="Times New Roman" w:hAnsi="Times New Roman" w:cs="Times New Roman"/>
          <w:sz w:val="24"/>
          <w:szCs w:val="24"/>
        </w:rPr>
        <w:t>иректор</w:t>
      </w:r>
      <w:r w:rsidR="006702A5">
        <w:rPr>
          <w:rFonts w:ascii="Times New Roman" w:hAnsi="Times New Roman" w:cs="Times New Roman"/>
          <w:sz w:val="24"/>
          <w:szCs w:val="24"/>
        </w:rPr>
        <w:t>а</w:t>
      </w:r>
      <w:r w:rsidR="0094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3B" w:rsidRDefault="008F403B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 </w:t>
      </w:r>
      <w:r w:rsidR="00C253FB">
        <w:rPr>
          <w:rFonts w:ascii="Times New Roman" w:hAnsi="Times New Roman" w:cs="Times New Roman"/>
          <w:sz w:val="24"/>
          <w:szCs w:val="24"/>
        </w:rPr>
        <w:t>30.08.2021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0D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02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0DEA">
        <w:rPr>
          <w:rFonts w:ascii="Times New Roman" w:hAnsi="Times New Roman" w:cs="Times New Roman"/>
          <w:sz w:val="24"/>
          <w:szCs w:val="24"/>
        </w:rPr>
        <w:t>МАОУ «Белоярская СОШ №1»</w:t>
      </w:r>
    </w:p>
    <w:p w:rsidR="00940DEA" w:rsidRDefault="00940DEA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702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Балеевских Е.А.</w:t>
      </w: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</w:t>
      </w:r>
      <w:r w:rsidR="006702A5">
        <w:rPr>
          <w:rFonts w:ascii="Times New Roman" w:hAnsi="Times New Roman" w:cs="Times New Roman"/>
          <w:sz w:val="24"/>
          <w:szCs w:val="24"/>
        </w:rPr>
        <w:t>159-од от 30.08.2021</w:t>
      </w: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702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1010" w:rsidRPr="00E71010" w:rsidRDefault="00E71010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36"/>
          <w:szCs w:val="24"/>
        </w:rPr>
      </w:pPr>
    </w:p>
    <w:p w:rsidR="00E71010" w:rsidRPr="00E71010" w:rsidRDefault="00E71010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36"/>
          <w:szCs w:val="24"/>
        </w:rPr>
      </w:pPr>
      <w:r w:rsidRPr="00E71010">
        <w:rPr>
          <w:rFonts w:ascii="Times New Roman" w:hAnsi="Times New Roman" w:cs="Times New Roman"/>
          <w:sz w:val="36"/>
          <w:szCs w:val="24"/>
        </w:rPr>
        <w:t>Положение</w:t>
      </w:r>
      <w:bookmarkStart w:id="0" w:name="_GoBack"/>
      <w:bookmarkEnd w:id="0"/>
    </w:p>
    <w:p w:rsidR="00E71010" w:rsidRPr="00E71010" w:rsidRDefault="00E71010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36"/>
          <w:szCs w:val="24"/>
        </w:rPr>
      </w:pPr>
      <w:r w:rsidRPr="00E71010">
        <w:rPr>
          <w:rFonts w:ascii="Times New Roman" w:hAnsi="Times New Roman" w:cs="Times New Roman"/>
          <w:sz w:val="36"/>
          <w:szCs w:val="24"/>
        </w:rPr>
        <w:t>«</w:t>
      </w:r>
      <w:r w:rsidRPr="00793AD5">
        <w:rPr>
          <w:rFonts w:ascii="Times New Roman" w:hAnsi="Times New Roman" w:cs="Times New Roman"/>
          <w:sz w:val="28"/>
          <w:szCs w:val="24"/>
        </w:rPr>
        <w:t xml:space="preserve"> О НАСТАВНИЧЕСТВЕ</w:t>
      </w:r>
      <w:r w:rsidRPr="00E71010">
        <w:rPr>
          <w:rFonts w:ascii="Times New Roman" w:hAnsi="Times New Roman" w:cs="Times New Roman"/>
          <w:sz w:val="36"/>
          <w:szCs w:val="24"/>
        </w:rPr>
        <w:t>»</w:t>
      </w:r>
    </w:p>
    <w:p w:rsidR="00E71010" w:rsidRDefault="00E71010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3840C6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40C6" w:rsidRDefault="00E71010" w:rsidP="00E7101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3840C6" w:rsidRDefault="003840C6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numPr>
          <w:ilvl w:val="0"/>
          <w:numId w:val="5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DD2F55" w:rsidRDefault="00DD2F55" w:rsidP="00D706BD">
      <w:pPr>
        <w:pStyle w:val="Default"/>
        <w:numPr>
          <w:ilvl w:val="1"/>
          <w:numId w:val="5"/>
        </w:numPr>
        <w:spacing w:line="360" w:lineRule="auto"/>
        <w:jc w:val="both"/>
      </w:pPr>
      <w:r w:rsidRPr="00D706BD">
        <w:t xml:space="preserve">Настоящее Положение </w:t>
      </w:r>
      <w:r>
        <w:t>«О наставничестве»</w:t>
      </w:r>
      <w:r w:rsidRPr="00D706BD">
        <w:t xml:space="preserve"> (далее – Положение) в </w:t>
      </w:r>
      <w:r>
        <w:t>М</w:t>
      </w:r>
      <w:r w:rsidR="00E71010">
        <w:t>А</w:t>
      </w:r>
      <w:r>
        <w:t>ОУ «</w:t>
      </w:r>
      <w:r w:rsidR="00E71010">
        <w:t>Белоярская СОШ №1</w:t>
      </w:r>
      <w:r>
        <w:t xml:space="preserve">» </w:t>
      </w:r>
      <w:r w:rsidRPr="00D706BD">
        <w:t>разработано в соответствие с</w:t>
      </w:r>
      <w:r>
        <w:t>: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 Федеральным Законом «Об образовании в Российской Федерации» от 29.12.2012 года № 273-ФЗ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>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t>");</w:t>
      </w:r>
    </w:p>
    <w:p w:rsidR="00DD2F55" w:rsidRPr="00D706BD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Уставом </w:t>
      </w:r>
      <w:r>
        <w:t>М</w:t>
      </w:r>
      <w:r w:rsidR="00D76819">
        <w:t>А</w:t>
      </w:r>
      <w:r>
        <w:t>ОУ «</w:t>
      </w:r>
      <w:r w:rsidR="00D76819">
        <w:t>Белоярская СОШ №1»</w:t>
      </w:r>
      <w:r w:rsidRPr="00D706BD">
        <w:t xml:space="preserve">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 и порядок организации наставничества.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представляет собой форму передачи опыта, знаний, формирования навыков, компетенций, метакомпетенций и ценносте</w:t>
      </w:r>
      <w:r>
        <w:rPr>
          <w:rFonts w:ascii="Times New Roman" w:hAnsi="Times New Roman" w:cs="Times New Roman"/>
          <w:sz w:val="24"/>
          <w:szCs w:val="24"/>
        </w:rPr>
        <w:t>й через неформальное взаимообог</w:t>
      </w:r>
      <w:r w:rsidRPr="004B3404">
        <w:rPr>
          <w:rFonts w:ascii="Times New Roman" w:hAnsi="Times New Roman" w:cs="Times New Roman"/>
          <w:sz w:val="24"/>
          <w:szCs w:val="24"/>
        </w:rPr>
        <w:t>щаюшее общение, основанное на доверии и партнёрстве.</w:t>
      </w:r>
      <w:r w:rsidRPr="004B3404">
        <w:rPr>
          <w:sz w:val="24"/>
          <w:szCs w:val="24"/>
        </w:rPr>
        <w:t xml:space="preserve">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r w:rsidRPr="004B3404">
        <w:rPr>
          <w:rFonts w:ascii="Times New Roman" w:hAnsi="Times New Roman" w:cs="Times New Roman"/>
          <w:sz w:val="24"/>
          <w:szCs w:val="24"/>
        </w:rPr>
        <w:t xml:space="preserve"> Целями наставничества являются: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заинтересованности в результатах труда;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зации.</w:t>
      </w:r>
    </w:p>
    <w:p w:rsidR="00DD2F55" w:rsidRPr="004B3404" w:rsidRDefault="00DD2F55" w:rsidP="00DC6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2.1. Реализуемые формы программ наставничества:</w:t>
      </w:r>
    </w:p>
    <w:p w:rsidR="00DD2F55" w:rsidRPr="004B3404" w:rsidRDefault="0023719F" w:rsidP="00D706B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«учитель – учитель»; </w:t>
      </w:r>
    </w:p>
    <w:p w:rsidR="00DD2F55" w:rsidRPr="004B3404" w:rsidRDefault="0023719F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>. Форма наставничества «учитель – учитель».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DD2F55" w:rsidRPr="004B3404" w:rsidRDefault="0023719F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DD2F55" w:rsidRPr="004B3404" w:rsidRDefault="0023719F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.2. Задачи: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DD2F55" w:rsidRPr="004B3404" w:rsidRDefault="0023719F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>.3. Результаты: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повышение уровня удовлетворенности собственной работой и улучшение психоэмоционального состояния;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рост числа собственных профессиональных работ: статей, исследований,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методических практик молодого специалиста.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>.4. Портрет участников.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>.5. Вариации взаимодействия: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F55" w:rsidRPr="004B3404">
        <w:rPr>
          <w:rFonts w:ascii="Times New Roman" w:hAnsi="Times New Roman" w:cs="Times New Roman"/>
          <w:sz w:val="24"/>
          <w:szCs w:val="24"/>
        </w:rPr>
        <w:t>.6. Формы взаимодействия: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 xml:space="preserve">- в рамках реализации программы повышения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D2F55" w:rsidRPr="004B3404">
        <w:rPr>
          <w:rFonts w:ascii="Times New Roman" w:hAnsi="Times New Roman" w:cs="Times New Roman"/>
          <w:sz w:val="24"/>
          <w:szCs w:val="24"/>
        </w:rPr>
        <w:t>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2F55" w:rsidRPr="004B3404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D2F55" w:rsidRPr="004B3404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D2F55" w:rsidRPr="004B3404" w:rsidRDefault="00EB174B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2F55"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7C127B">
        <w:rPr>
          <w:rFonts w:ascii="Times New Roman" w:hAnsi="Times New Roman" w:cs="Times New Roman"/>
          <w:sz w:val="24"/>
          <w:szCs w:val="24"/>
        </w:rPr>
        <w:t>7</w:t>
      </w:r>
      <w:r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D2F55" w:rsidRPr="004B3404" w:rsidRDefault="007C0BB2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D2F55" w:rsidRPr="004B3404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D2F55" w:rsidRPr="004B3404" w:rsidRDefault="007C0BB2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</w:t>
      </w:r>
      <w:r w:rsidR="00DD2F55" w:rsidRPr="004B3404">
        <w:rPr>
          <w:rFonts w:ascii="Times New Roman" w:hAnsi="Times New Roman" w:cs="Times New Roman"/>
          <w:sz w:val="24"/>
          <w:szCs w:val="24"/>
        </w:rPr>
        <w:lastRenderedPageBreak/>
        <w:t>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7C0BB2">
        <w:rPr>
          <w:rFonts w:ascii="Times New Roman" w:hAnsi="Times New Roman" w:cs="Times New Roman"/>
          <w:sz w:val="24"/>
          <w:szCs w:val="24"/>
        </w:rPr>
        <w:t>0</w:t>
      </w:r>
      <w:r w:rsidRPr="004B3404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положением.</w:t>
      </w:r>
    </w:p>
    <w:p w:rsidR="00DD2F55" w:rsidRPr="004B3404" w:rsidRDefault="007C0BB2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D2F55" w:rsidRPr="004B3404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850E93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DD2F55" w:rsidRDefault="00850E93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D2F55" w:rsidRPr="004B3404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5D6850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DD2F55" w:rsidRPr="004B3404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5D6850"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D2F55" w:rsidRPr="004B3404" w:rsidRDefault="005D6850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DD2F55" w:rsidRPr="004B3404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BA2C90">
        <w:rPr>
          <w:rFonts w:ascii="Times New Roman" w:hAnsi="Times New Roman" w:cs="Times New Roman"/>
          <w:sz w:val="24"/>
          <w:szCs w:val="24"/>
        </w:rPr>
        <w:t>8</w:t>
      </w:r>
      <w:r w:rsidRPr="004B3404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3.1. Организация наставничества возлагается на</w:t>
      </w:r>
      <w:r w:rsidR="00BA2C90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Pr="004B3404">
        <w:rPr>
          <w:rFonts w:ascii="Times New Roman" w:hAnsi="Times New Roman" w:cs="Times New Roman"/>
          <w:sz w:val="24"/>
          <w:szCs w:val="24"/>
        </w:rPr>
        <w:t xml:space="preserve"> дир</w:t>
      </w:r>
      <w:r>
        <w:rPr>
          <w:rFonts w:ascii="Times New Roman" w:hAnsi="Times New Roman" w:cs="Times New Roman"/>
          <w:sz w:val="24"/>
          <w:szCs w:val="24"/>
        </w:rPr>
        <w:t>ектора М</w:t>
      </w:r>
      <w:r w:rsidR="00BA2C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BA2C90">
        <w:rPr>
          <w:rFonts w:ascii="Times New Roman" w:hAnsi="Times New Roman" w:cs="Times New Roman"/>
          <w:sz w:val="24"/>
          <w:szCs w:val="24"/>
        </w:rPr>
        <w:t>Белоярская СОШ № 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404">
        <w:rPr>
          <w:rFonts w:ascii="Times New Roman" w:hAnsi="Times New Roman" w:cs="Times New Roman"/>
          <w:sz w:val="24"/>
          <w:szCs w:val="24"/>
        </w:rPr>
        <w:t>, который осуществляет следующие функции: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кандидатуры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определяет число лиц, в отношении которых наставник одновременно осуществляет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 или получать информацию о лице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о создании условий для совместной работы;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и руководителю о поощрении, наложении дисциплинарного взыскания на лицо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с заявлением к куратору и руководителю с просьбой о сложении с него обязанностей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осуществлять контроль деятельности лица, в отношении которого осуществляется наставничество, в форме личной проверки выполнения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заданий, поручений, проверки качества выполненной работы.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не реже 1 раза в месяц докладывать куратору и руководителю о результатах достигнутых в процессе осуществления наставничества.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и учебными обязанностями;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куратору и руководителю с ходатайством о замене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изучать законодательство Российской Федерации, локальные нормативные акты организации и руководствоваться ими при исполнении должностных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и учебных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Pr="004B3404" w:rsidRDefault="00DD2F55" w:rsidP="00807E3B">
      <w:pPr>
        <w:spacing w:after="300" w:line="276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sectPr w:rsidR="00DD2F55" w:rsidRPr="004B3404" w:rsidSect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27" w:rsidRDefault="00182027" w:rsidP="00F00E50">
      <w:pPr>
        <w:spacing w:after="0" w:line="240" w:lineRule="auto"/>
      </w:pPr>
      <w:r>
        <w:separator/>
      </w:r>
    </w:p>
  </w:endnote>
  <w:endnote w:type="continuationSeparator" w:id="0">
    <w:p w:rsidR="00182027" w:rsidRDefault="00182027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27" w:rsidRDefault="00182027" w:rsidP="00F00E50">
      <w:pPr>
        <w:spacing w:after="0" w:line="240" w:lineRule="auto"/>
      </w:pPr>
      <w:r>
        <w:separator/>
      </w:r>
    </w:p>
  </w:footnote>
  <w:footnote w:type="continuationSeparator" w:id="0">
    <w:p w:rsidR="00182027" w:rsidRDefault="00182027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6D7FA1"/>
    <w:multiLevelType w:val="multilevel"/>
    <w:tmpl w:val="A08499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4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4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2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cs="Times New Roman" w:hint="default"/>
        <w:b/>
      </w:rPr>
    </w:lvl>
  </w:abstractNum>
  <w:abstractNum w:abstractNumId="19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23"/>
  </w:num>
  <w:num w:numId="10">
    <w:abstractNumId w:val="9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5"/>
    <w:rsid w:val="000012C7"/>
    <w:rsid w:val="000A2F0A"/>
    <w:rsid w:val="000A6C40"/>
    <w:rsid w:val="000E41B5"/>
    <w:rsid w:val="000E4486"/>
    <w:rsid w:val="00174A69"/>
    <w:rsid w:val="00182027"/>
    <w:rsid w:val="001839A3"/>
    <w:rsid w:val="00187D3E"/>
    <w:rsid w:val="001A2FB3"/>
    <w:rsid w:val="001E3300"/>
    <w:rsid w:val="00205446"/>
    <w:rsid w:val="0023719F"/>
    <w:rsid w:val="00250398"/>
    <w:rsid w:val="002A1D12"/>
    <w:rsid w:val="002C4119"/>
    <w:rsid w:val="002F764D"/>
    <w:rsid w:val="00312A60"/>
    <w:rsid w:val="00344939"/>
    <w:rsid w:val="003840C6"/>
    <w:rsid w:val="003846F1"/>
    <w:rsid w:val="0040059E"/>
    <w:rsid w:val="0042353E"/>
    <w:rsid w:val="0044422C"/>
    <w:rsid w:val="004B3404"/>
    <w:rsid w:val="005125F0"/>
    <w:rsid w:val="005355ED"/>
    <w:rsid w:val="00554B87"/>
    <w:rsid w:val="00560BD2"/>
    <w:rsid w:val="0059043B"/>
    <w:rsid w:val="00593C4D"/>
    <w:rsid w:val="005D6850"/>
    <w:rsid w:val="00631F06"/>
    <w:rsid w:val="00640D52"/>
    <w:rsid w:val="00651175"/>
    <w:rsid w:val="00652D51"/>
    <w:rsid w:val="006702A5"/>
    <w:rsid w:val="006C1563"/>
    <w:rsid w:val="00793AD5"/>
    <w:rsid w:val="007B0135"/>
    <w:rsid w:val="007B37FC"/>
    <w:rsid w:val="007C0BB2"/>
    <w:rsid w:val="007C127B"/>
    <w:rsid w:val="007C2F02"/>
    <w:rsid w:val="007E4A6A"/>
    <w:rsid w:val="00807E3B"/>
    <w:rsid w:val="00850E93"/>
    <w:rsid w:val="00863134"/>
    <w:rsid w:val="008C169E"/>
    <w:rsid w:val="008D0DA0"/>
    <w:rsid w:val="008F403B"/>
    <w:rsid w:val="009065F6"/>
    <w:rsid w:val="00925E03"/>
    <w:rsid w:val="00940DEA"/>
    <w:rsid w:val="009F11DC"/>
    <w:rsid w:val="00A47B7D"/>
    <w:rsid w:val="00A53458"/>
    <w:rsid w:val="00AC3E39"/>
    <w:rsid w:val="00B93C80"/>
    <w:rsid w:val="00BA2C90"/>
    <w:rsid w:val="00BB04F9"/>
    <w:rsid w:val="00C166F7"/>
    <w:rsid w:val="00C253FB"/>
    <w:rsid w:val="00C4012D"/>
    <w:rsid w:val="00C828F5"/>
    <w:rsid w:val="00D34731"/>
    <w:rsid w:val="00D706BD"/>
    <w:rsid w:val="00D76819"/>
    <w:rsid w:val="00DB6CD2"/>
    <w:rsid w:val="00DC6939"/>
    <w:rsid w:val="00DD2F55"/>
    <w:rsid w:val="00DE7E6C"/>
    <w:rsid w:val="00DF1E32"/>
    <w:rsid w:val="00E13329"/>
    <w:rsid w:val="00E45CE1"/>
    <w:rsid w:val="00E71010"/>
    <w:rsid w:val="00E759B8"/>
    <w:rsid w:val="00EB174B"/>
    <w:rsid w:val="00F00E50"/>
    <w:rsid w:val="00F11CC6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A45B7-36AA-4CCA-BC44-4F87D43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basedOn w:val="a0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basedOn w:val="a0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1906</Words>
  <Characters>15153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Ulyanova</cp:lastModifiedBy>
  <cp:revision>3</cp:revision>
  <dcterms:created xsi:type="dcterms:W3CDTF">2021-09-28T14:11:00Z</dcterms:created>
  <dcterms:modified xsi:type="dcterms:W3CDTF">2021-10-07T10:08:00Z</dcterms:modified>
</cp:coreProperties>
</file>